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C9" w:rsidRDefault="00D669B3" w:rsidP="00AF388B">
      <w:pPr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8181975"/>
            <wp:effectExtent l="0" t="0" r="0" b="9525"/>
            <wp:docPr id="2" name="Рисунок 2" descr="D:\АНЕ ЗАБРАТЬ\ЦВР ЮНОСТЬ ПРОГРАММЫ\САЙТ\Программы скан\Доскан\Программы скан\Англиский дл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Программы скан\Англиский для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3C9" w:rsidRDefault="009123C9" w:rsidP="00AF388B">
      <w:pPr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9123C9" w:rsidRDefault="009123C9" w:rsidP="00AF388B">
      <w:pPr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AF388B" w:rsidRPr="00AF388B" w:rsidRDefault="00AF388B" w:rsidP="00AF388B">
      <w:pPr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AF388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highlight w:val="white"/>
        </w:rPr>
        <w:t>Информационная карта программы</w:t>
      </w:r>
    </w:p>
    <w:tbl>
      <w:tblPr>
        <w:tblW w:w="10065" w:type="dxa"/>
        <w:tblInd w:w="108" w:type="dxa"/>
        <w:tblLayout w:type="fixed"/>
        <w:tblLook w:val="0000"/>
      </w:tblPr>
      <w:tblGrid>
        <w:gridCol w:w="565"/>
        <w:gridCol w:w="2958"/>
        <w:gridCol w:w="6542"/>
      </w:tblGrid>
      <w:tr w:rsidR="00AF388B" w:rsidRPr="00AF388B" w:rsidTr="00620650">
        <w:trPr>
          <w:trHeight w:val="7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Ведомственная принадлежность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Отдел образования  администрации г. Комсомольска-на-Амуре</w:t>
            </w:r>
          </w:p>
        </w:tc>
      </w:tr>
      <w:tr w:rsidR="00AF388B" w:rsidRPr="00AF388B" w:rsidTr="0062065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Наименование учреждения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Муниципальное образовательное учреждение дополнительного образования детей и молодежи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 внешкольной работы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 (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»)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388B" w:rsidRPr="00AF388B" w:rsidTr="00620650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Дата образования и организационно-правовая форма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жилмассивах</w:t>
            </w:r>
            <w:proofErr w:type="spellEnd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 внешкольной работы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 (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МОУ ДО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»).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Центру было передано в оперативное управление здание по адресу: Вокзальная, д. 80 корп. 3. В 2006 году согласно распоряжения главы администрации города от 31 мая 2006 года № 1265-ра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О закреплении нежилого здания детского сада за МОУ ДО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 внешкольной работы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»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</w:t>
            </w: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Суворова</w:t>
            </w:r>
            <w:proofErr w:type="gramStart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.В</w:t>
            </w:r>
            <w:proofErr w:type="spellEnd"/>
            <w:proofErr w:type="gramEnd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 2009 году учреждение было переименовано в муниципальное образовательное учреждение дополнительного образования детей и молодежи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 внешкольной работы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 (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»).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Муниципальное образовательное учреждение  дополнительного образования детей и молодежи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Центр внешкольной работы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»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г. Комсомольска-на-Амуре осуществляет свою деятельность в соответствии  с Законом Российской Федерации 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Об  образовании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».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Типовым положением об образовательном учреждении дополнительного образования детей, Уставом 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»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от  28. 06.2002 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право ведения</w:t>
            </w:r>
            <w:proofErr w:type="gramEnd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 образовательной деятельности по реализации дополнительных образовательных услуг № 886 от 21.02.2012 года, нормативно-организационной документацией 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».</w:t>
            </w:r>
          </w:p>
        </w:tc>
      </w:tr>
      <w:tr w:rsidR="00AF388B" w:rsidRPr="00AF388B" w:rsidTr="00620650">
        <w:trPr>
          <w:trHeight w:val="7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lastRenderedPageBreak/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Адрес учреждения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681035,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г. Комсомольск-на-Амуре, ул. </w:t>
            </w:r>
            <w:proofErr w:type="gramStart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Вокзальная</w:t>
            </w:r>
            <w:proofErr w:type="gramEnd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, дом 80 корп. 3, тел. 8(4217) 59-52-95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Ф.И.О педагога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Кунгурова</w:t>
            </w:r>
            <w:proofErr w:type="spellEnd"/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 Оксана Владимировна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2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Образование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Высшее педагогическое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Место работы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 xml:space="preserve">», 681035,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г. Комсомольск-на-Амуре, ул. Вокзальная, дом 80 корп. 3, тел. 8(4217) 59-52-95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3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Должность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Педагог дополнительного образования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3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Педагогический стаж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 xml:space="preserve">6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месяцев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3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Контактные телефоны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рабочий  телефон: 8(4217) 59-52-95 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11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Полное название образовательной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Дополнительная общеобразовательная программа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Английский язык для младших школьников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»</w:t>
            </w:r>
          </w:p>
        </w:tc>
      </w:tr>
      <w:tr w:rsidR="00AF388B" w:rsidRPr="00AF388B" w:rsidTr="00620650">
        <w:trPr>
          <w:trHeight w:val="10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Направление, специализация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Социально-педагогическое направление</w:t>
            </w:r>
          </w:p>
        </w:tc>
      </w:tr>
      <w:tr w:rsidR="00AF388B" w:rsidRPr="00AF388B" w:rsidTr="00620650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1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Модификация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</w:rPr>
            </w:pPr>
            <w:r w:rsidRPr="00AF388B">
              <w:rPr>
                <w:rFonts w:ascii="Times New Roman CYR" w:eastAsia="Calibri" w:hAnsi="Times New Roman CYR" w:cs="Times New Roman CYR"/>
              </w:rPr>
              <w:t>Программа является модифицированной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Цель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  <w:t>Формирование у детей младшего школьного возраста положительного отношения к английскому языку как средству общения, а также формирование элементарных навыков и умений устно-речевого общения на английском языке на доступном учащимся уровне, учитывая их речевые потребности, а также их речевой опыт на родном языке.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388B" w:rsidRPr="00AF388B" w:rsidTr="0062065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15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Задачи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AF388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Образовательные задачи –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  <w:t>приобщить ребенка к самостоятельному решению коммуникативных задач на английском языке в рамках изученной тематики; с</w:t>
            </w:r>
            <w:r w:rsidRPr="00AF388B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формировать у учащихся речевую, языковую, социокультурную компетенцию; научить элементарной </w:t>
            </w:r>
            <w:r w:rsidRPr="00AF388B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диалогической и монологической речи; изучить основы грамматики и практически отработать применения этих правил в устной разговорной речи;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  <w:t>выработать у учащихся навыки правильного произношения английских звуков и правильного интонирования высказывания;</w:t>
            </w:r>
            <w:proofErr w:type="gramEnd"/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Развивающие задачи -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создать условия для полноценного и своевременного психологического развития ребенка;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развивать мышление, память и воображение; расширять кругозор учащихся; формировать мотивацию к познанию и творчеству; ознакомить с культурой, традициями и обычаями страны изучаемого языка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  <w:t>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Воспитательные задачи -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highlight w:val="white"/>
              </w:rPr>
              <w:t>воспитать нравственные качества личности обучающегося, толерантное отношение к представителям иных культур; воспитать умение работать в коллективе (группе).</w:t>
            </w:r>
          </w:p>
        </w:tc>
      </w:tr>
      <w:tr w:rsidR="00AF388B" w:rsidRPr="00AF388B" w:rsidTr="00620650">
        <w:trPr>
          <w:trHeight w:val="2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lastRenderedPageBreak/>
              <w:t>16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Срок реализации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 xml:space="preserve">3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года 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Место проведения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»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Возраст участников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7-1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4</w:t>
            </w: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 xml:space="preserve">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лет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Контингент уч-ся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учащиеся школ Центрального  округа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F388B" w:rsidRPr="00AF388B" w:rsidTr="00620650">
        <w:trPr>
          <w:trHeight w:val="1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Краткое содержание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Курс обучения английскому языку условно делится на 3 этапа: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  <w:lang w:val="en-US"/>
              </w:rPr>
              <w:t>I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этап – первый год обучения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  <w:lang w:val="en-US"/>
              </w:rPr>
              <w:t>II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этап – второй год обучения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  <w:lang w:val="en-US"/>
              </w:rPr>
              <w:t>III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этап – третий год обучения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Каждый выделенный этап имеет свои задачи и является очередной ступенью в процессе овладения учащимися основами коммуникативной компетенции. В соответствии с целями каждого этапа обучения определен выбор учебно-методических комплектов, используемых в МОУ ДОДиМ </w:t>
            </w: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ЦВР </w:t>
            </w: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</w:rPr>
              <w:t>«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Юность</w:t>
            </w: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highlight w:val="white"/>
              </w:rPr>
              <w:t xml:space="preserve">». 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6"/>
                <w:highlight w:val="white"/>
                <w:lang w:val="en-US"/>
              </w:rPr>
              <w:t>I</w:t>
            </w:r>
            <w:r w:rsidRPr="00AF38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6"/>
                <w:highlight w:val="white"/>
              </w:rPr>
              <w:t xml:space="preserve"> </w:t>
            </w:r>
            <w:r w:rsidRPr="00AF388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6"/>
                <w:highlight w:val="white"/>
              </w:rPr>
              <w:t xml:space="preserve">этап обучения.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У детей формируются первичные навыки и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lastRenderedPageBreak/>
              <w:t xml:space="preserve">умения иноязычного общения, составляющие основу коммуникативной компетенции в устной речи (говорение и </w:t>
            </w: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аудирование</w:t>
            </w:r>
            <w:proofErr w:type="spellEnd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). На первом этапе осуществляется целенаправленная работа по развитию основных механизмов </w:t>
            </w: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аудирования</w:t>
            </w:r>
            <w:proofErr w:type="spellEnd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 (оперативной памяти, слухового внимания, речевого слуха и др.), а также формирование умений </w:t>
            </w: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аудирования</w:t>
            </w:r>
            <w:proofErr w:type="spellEnd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 как самостоятельного вида деятельности для решения коммуникативных задач в элементарных ситуациях устного общения.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Курс предназначен для детей 7-8 лет, которые ранее английским языком не занимались или изучали его только устно, без опоры на чтение и письмо. Задача данного курса состоит в том, чтобы обучить детей всем четырем видам речевой деятельности (</w:t>
            </w:r>
            <w:proofErr w:type="spellStart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аудированию</w:t>
            </w:r>
            <w:proofErr w:type="spellEnd"/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>, говорению, чтению и письму).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6"/>
                <w:highlight w:val="white"/>
              </w:rPr>
              <w:t xml:space="preserve">На II этапе обучения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расширяется речевой опыт учащихся за счет новых средств общения, совершенствуется их культура общения на иностранном языке, формируются умения учащихся осуществлять как устные, так и письменные формы общения. Особое место занимает обучение чтению. Этот этап нацелен также на усиление мотивации учащихся к изучению иностранного языка и познанию другой культуры, на дальнейшее развитие их творческих способностей в процессе активно-познавательной деятельности.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Курс предназначен для младших школьников 9-10 лет. Обучение английскому языку осуществляется посредством увлекательных, легко запоминающихся материалов: текстов, заданий, упражнений.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Главные герои этого курса – друзья-школьники, которые вместе учатся, путешествуют, переживают увлекательные приключения. Игры, песни, рифмовки, загадки, викторины, проекты, аудиозаписи добавляют учащимся мотивации и желания учиться.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6"/>
                <w:highlight w:val="white"/>
              </w:rPr>
              <w:t xml:space="preserve">На III этапе обучения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t xml:space="preserve">возрастает и уровень </w:t>
            </w:r>
            <w:r w:rsidRPr="00AF388B">
              <w:rPr>
                <w:rFonts w:ascii="Times New Roman CYR" w:eastAsia="Calibri" w:hAnsi="Times New Roman CYR" w:cs="Times New Roman CYR"/>
                <w:color w:val="000000"/>
                <w:sz w:val="24"/>
                <w:szCs w:val="26"/>
                <w:highlight w:val="white"/>
              </w:rPr>
              <w:lastRenderedPageBreak/>
              <w:t xml:space="preserve">рассматриваемых тем. Объем страноведческой информации и дополнительный материал для чтения возрастает. Изучаемый языковой материал легко запоминается благодаря подбору интересного, мотивирующего материала. </w:t>
            </w:r>
          </w:p>
        </w:tc>
      </w:tr>
      <w:tr w:rsidR="00AF388B" w:rsidRPr="00AF388B" w:rsidTr="00620650">
        <w:trPr>
          <w:trHeight w:val="6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  <w:lang w:val="en-US"/>
              </w:rPr>
              <w:lastRenderedPageBreak/>
              <w:t>21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История осуществления реализации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88B">
              <w:rPr>
                <w:rFonts w:ascii="Times New Roman" w:eastAsia="Calibri" w:hAnsi="Times New Roman" w:cs="Times New Roman"/>
              </w:rPr>
              <w:t xml:space="preserve">Программа реализуется с 2014 года. 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388B" w:rsidRPr="00AF388B" w:rsidTr="00620650">
        <w:trPr>
          <w:trHeight w:val="11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" w:eastAsia="Calibri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F388B">
              <w:rPr>
                <w:rFonts w:ascii="Times New Roman CYR" w:eastAsia="Calibri" w:hAnsi="Times New Roman CYR" w:cs="Times New Roman CYR"/>
                <w:color w:val="000000"/>
                <w:highlight w:val="white"/>
              </w:rPr>
              <w:t>Прогнозирование возможных (ожидаемых) позитивных результатов.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ind w:firstLine="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первого года обучения учащиеся будут знать весь английский алфавит, большинство звуков, часто встречающиеся буквенные сочетания, смогут составлять небольшие предложения на разные темы, задавать вопросы и отвечать на них, читать и переводить небольшие по объёму тексты.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ind w:firstLine="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второго года обучения учащиеся должны будут </w:t>
            </w:r>
            <w:proofErr w:type="gramStart"/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понимать на слух речь педагога, диктора и </w:t>
            </w:r>
            <w:proofErr w:type="spellStart"/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 участвовать в диалоге, читать про себя и понимать содержание небольших текстов (80-120 слов), писать с опорой на текст, уметь рассказывать о себе.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третьего года обучения учащиеся будут знать 241 лексическую единицу, некоторое количество интернациональных слов и модальных глаголов, </w:t>
            </w: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white"/>
              </w:rPr>
              <w:t>распознавать, различать и употреблять в речи глаголы в настоящем, будущем и прошедшем времени</w:t>
            </w: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, принимать участие в диалогах – расспросах, выражать мнение о содержании истории; выражение чувств и отношений к предмету обсуждения, читать про себя и понимать небольшие тексты (120-180 слов), содержащие только изученный материал; несложные тексты, содержащие отдельные новые слова; находить в тексте необходимую информацию, </w:t>
            </w:r>
            <w:r w:rsidRPr="00AF3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значение английского языка в современном мире, наиболее употребительную лексику, реалии англоязычных стран, их культурное наследие, пользоваться словарем.</w:t>
            </w:r>
          </w:p>
          <w:p w:rsidR="00AF388B" w:rsidRPr="00AF388B" w:rsidRDefault="00AF388B" w:rsidP="00AF388B">
            <w:pPr>
              <w:autoSpaceDE w:val="0"/>
              <w:autoSpaceDN w:val="0"/>
              <w:adjustRightInd w:val="0"/>
              <w:spacing w:after="0" w:line="360" w:lineRule="auto"/>
              <w:ind w:firstLine="83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D0594" w:rsidRDefault="004D0594"/>
    <w:sectPr w:rsidR="004D0594" w:rsidSect="0004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8B"/>
    <w:rsid w:val="0004405D"/>
    <w:rsid w:val="002E6923"/>
    <w:rsid w:val="004D0594"/>
    <w:rsid w:val="008820AB"/>
    <w:rsid w:val="009123C9"/>
    <w:rsid w:val="00AA1744"/>
    <w:rsid w:val="00AF388B"/>
    <w:rsid w:val="00D6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Анжела</cp:lastModifiedBy>
  <cp:revision>2</cp:revision>
  <cp:lastPrinted>2015-01-21T07:08:00Z</cp:lastPrinted>
  <dcterms:created xsi:type="dcterms:W3CDTF">2015-01-22T11:41:00Z</dcterms:created>
  <dcterms:modified xsi:type="dcterms:W3CDTF">2015-01-22T11:41:00Z</dcterms:modified>
</cp:coreProperties>
</file>